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CF" w:rsidRDefault="00FE69CF" w:rsidP="00FE69CF">
      <w:pPr>
        <w:keepNext/>
        <w:keepLines/>
        <w:spacing w:after="480"/>
        <w:contextualSpacing/>
        <w:outlineLvl w:val="0"/>
        <w:rPr>
          <w:rFonts w:eastAsia="MS Gothic"/>
          <w:b/>
          <w:bCs/>
          <w:color w:val="C00000"/>
          <w:sz w:val="32"/>
          <w:szCs w:val="28"/>
        </w:rPr>
      </w:pPr>
      <w:r w:rsidRPr="00FE69CF">
        <w:rPr>
          <w:rFonts w:eastAsia="MS Gothic"/>
          <w:b/>
          <w:bCs/>
          <w:color w:val="C00000"/>
          <w:sz w:val="32"/>
          <w:szCs w:val="28"/>
        </w:rPr>
        <w:t>Úvod</w:t>
      </w:r>
    </w:p>
    <w:p w:rsidR="00E74B49" w:rsidRDefault="00E74B49" w:rsidP="00E74B49">
      <w:pPr>
        <w:spacing w:after="0" w:line="276" w:lineRule="auto"/>
        <w:contextualSpacing/>
        <w:jc w:val="both"/>
      </w:pPr>
    </w:p>
    <w:p w:rsidR="00770CFB" w:rsidRDefault="00E74B49" w:rsidP="00770CFB">
      <w:pPr>
        <w:spacing w:before="120" w:after="120"/>
        <w:contextualSpacing/>
        <w:jc w:val="both"/>
      </w:pPr>
      <w:r>
        <w:t xml:space="preserve">Vzdělávání zaměstnanců je </w:t>
      </w:r>
      <w:r w:rsidR="000B61E0">
        <w:t>takové</w:t>
      </w:r>
      <w:r>
        <w:t xml:space="preserve"> vzdělávání dospělých, </w:t>
      </w:r>
      <w:r w:rsidR="000B61E0">
        <w:t>které je zajišťované</w:t>
      </w:r>
      <w:r>
        <w:t xml:space="preserve"> podniky s primárním účelem získat </w:t>
      </w:r>
      <w:r w:rsidR="00C8513D">
        <w:t xml:space="preserve">či zlepšit </w:t>
      </w:r>
      <w:r>
        <w:t xml:space="preserve">znalosti a dovednosti uplatnitelné na trhu práce, reagovat na probíhající inovace a měnící se požadavky </w:t>
      </w:r>
      <w:r w:rsidR="00C8513D">
        <w:t xml:space="preserve">a celkově </w:t>
      </w:r>
      <w:r>
        <w:t xml:space="preserve">zlepšit konkurenceschopnost podniku. </w:t>
      </w:r>
      <w:r w:rsidR="00C8513D">
        <w:t xml:space="preserve">V rámci Evropské Unie se </w:t>
      </w:r>
      <w:r w:rsidR="00770CFB">
        <w:t>v roce 2021 již pošesté zjišťovalo</w:t>
      </w:r>
      <w:r w:rsidR="00C8513D">
        <w:t xml:space="preserve">, nakolik a v jaké podobě takové vzdělávání v podnicích probíhá. </w:t>
      </w:r>
      <w:r w:rsidR="00770CFB" w:rsidRPr="00C8513D">
        <w:t xml:space="preserve">Šetření je koordinováno </w:t>
      </w:r>
      <w:proofErr w:type="spellStart"/>
      <w:r w:rsidR="00770CFB" w:rsidRPr="00C8513D">
        <w:t>Eurostatem</w:t>
      </w:r>
      <w:proofErr w:type="spellEnd"/>
      <w:r w:rsidR="00770CFB" w:rsidRPr="00C8513D">
        <w:t xml:space="preserve"> a jeho realizace v zemích EU vyplývá z Evropské legislativy</w:t>
      </w:r>
      <w:r w:rsidR="00B4168C">
        <w:rPr>
          <w:rStyle w:val="Znakapoznpodarou"/>
        </w:rPr>
        <w:footnoteReference w:id="1"/>
      </w:r>
      <w:r w:rsidR="00770CFB">
        <w:t>. Na mezinárodní úrovni je označované jako „</w:t>
      </w:r>
      <w:proofErr w:type="spellStart"/>
      <w:r w:rsidR="00770CFB">
        <w:t>Continuing</w:t>
      </w:r>
      <w:proofErr w:type="spellEnd"/>
      <w:r w:rsidR="00770CFB">
        <w:t xml:space="preserve"> </w:t>
      </w:r>
      <w:proofErr w:type="spellStart"/>
      <w:r w:rsidR="00770CFB">
        <w:t>Vocational</w:t>
      </w:r>
      <w:proofErr w:type="spellEnd"/>
      <w:r w:rsidR="00770CFB">
        <w:t xml:space="preserve"> </w:t>
      </w:r>
      <w:proofErr w:type="spellStart"/>
      <w:r w:rsidR="00770CFB">
        <w:t>Trainig</w:t>
      </w:r>
      <w:proofErr w:type="spellEnd"/>
      <w:r w:rsidR="00770CFB">
        <w:t xml:space="preserve"> </w:t>
      </w:r>
      <w:proofErr w:type="spellStart"/>
      <w:r w:rsidR="00770CFB">
        <w:t>Survey</w:t>
      </w:r>
      <w:proofErr w:type="spellEnd"/>
      <w:r w:rsidR="00770CFB">
        <w:t>“ (CVTS).</w:t>
      </w:r>
      <w:r w:rsidR="006C01CD">
        <w:t xml:space="preserve"> </w:t>
      </w:r>
      <w:r w:rsidR="00770CFB">
        <w:t xml:space="preserve">Tato zpráva prezentuje výstupy s referenčním rokem 2020, tedy </w:t>
      </w:r>
      <w:r w:rsidR="006C01CD">
        <w:t xml:space="preserve">z šetření </w:t>
      </w:r>
      <w:r w:rsidR="00770CFB">
        <w:t>CVTS 6, p</w:t>
      </w:r>
      <w:r w:rsidR="00C8513D">
        <w:t>ředchozí vlny šetření s</w:t>
      </w:r>
      <w:r w:rsidR="00770CFB">
        <w:t>e vztahovaly k </w:t>
      </w:r>
      <w:r w:rsidR="00C8513D">
        <w:t>referenčním rokům 2015</w:t>
      </w:r>
      <w:r w:rsidR="006C01CD">
        <w:t xml:space="preserve"> (CVTS 5)</w:t>
      </w:r>
      <w:r w:rsidR="00C8513D">
        <w:t>, 2010</w:t>
      </w:r>
      <w:r w:rsidR="006C01CD">
        <w:t xml:space="preserve"> (CVTS 4)</w:t>
      </w:r>
      <w:r w:rsidR="00C8513D">
        <w:t>, 2005</w:t>
      </w:r>
      <w:r w:rsidR="006C01CD">
        <w:t xml:space="preserve"> (CVTS 3)</w:t>
      </w:r>
      <w:r w:rsidR="00C8513D">
        <w:t>, 1999</w:t>
      </w:r>
      <w:r w:rsidR="006C01CD">
        <w:t xml:space="preserve"> (CVTS 2)</w:t>
      </w:r>
      <w:r w:rsidR="00C8513D">
        <w:t>, 1993</w:t>
      </w:r>
      <w:r w:rsidR="006C01CD">
        <w:t xml:space="preserve"> (CVTS 1)</w:t>
      </w:r>
      <w:r w:rsidR="00C8513D">
        <w:t>.</w:t>
      </w:r>
      <w:r w:rsidR="00C8513D" w:rsidRPr="00C8513D">
        <w:t xml:space="preserve"> </w:t>
      </w:r>
      <w:r w:rsidR="00C50559">
        <w:t>První vlny šetření s referenčním rokem 1993 se však Č</w:t>
      </w:r>
      <w:r w:rsidR="00A434C7">
        <w:t xml:space="preserve">eská republika </w:t>
      </w:r>
      <w:r w:rsidR="00C50559">
        <w:t>neúčastnila.</w:t>
      </w:r>
    </w:p>
    <w:p w:rsidR="006C01CD" w:rsidRDefault="006C01CD" w:rsidP="00770CFB">
      <w:pPr>
        <w:spacing w:before="120" w:after="120"/>
        <w:contextualSpacing/>
        <w:jc w:val="both"/>
      </w:pPr>
    </w:p>
    <w:p w:rsidR="00C8513D" w:rsidRDefault="00770CFB" w:rsidP="00770CFB">
      <w:pPr>
        <w:spacing w:before="120" w:after="120"/>
        <w:contextualSpacing/>
        <w:jc w:val="both"/>
      </w:pPr>
      <w:r w:rsidRPr="00770CFB">
        <w:t>Za vzdělávání zajišťované podniky se v šetření považují takové aktivity, které jsou plánované, organizované či aktivně podporované podnikem s konkrétním vzdělávacím cílem. Podnik navíc musí takové vzdělávání za zaměstnance alespoň částečně hradit (ať již z vlastních zdrojů či z přijatých dotací apod.). Do částečné úhrady vzdělávání zaměstnanců patří i situace, kdy je pracovníkovi umožněno využívat ke vzdělávání placenou pracovní dobu, nebo situace, kdy jsou pracovníkovi hrazeny výukové materiály (např. v případě samostudia).</w:t>
      </w:r>
    </w:p>
    <w:p w:rsidR="00E262D1" w:rsidRDefault="00E262D1" w:rsidP="00770CFB">
      <w:pPr>
        <w:spacing w:before="120" w:after="120"/>
        <w:contextualSpacing/>
        <w:jc w:val="both"/>
      </w:pPr>
    </w:p>
    <w:p w:rsidR="00770CFB" w:rsidRDefault="00770CFB" w:rsidP="00770CFB">
      <w:pPr>
        <w:spacing w:before="120" w:after="120"/>
        <w:contextualSpacing/>
        <w:jc w:val="both"/>
      </w:pPr>
      <w:r>
        <w:t xml:space="preserve">Cílem šetření </w:t>
      </w:r>
      <w:r w:rsidR="006C01CD">
        <w:t>CVTS 6 bylo</w:t>
      </w:r>
      <w:r>
        <w:t xml:space="preserve"> </w:t>
      </w:r>
      <w:r w:rsidR="006C01CD">
        <w:t>získat data vypovídající o </w:t>
      </w:r>
      <w:r w:rsidR="00B82BFC">
        <w:t xml:space="preserve">míře </w:t>
      </w:r>
      <w:r>
        <w:t xml:space="preserve">zajišťování vzdělávání </w:t>
      </w:r>
      <w:r w:rsidR="006C01CD">
        <w:t>zaměstnanců</w:t>
      </w:r>
      <w:r w:rsidR="00CB29FB">
        <w:t xml:space="preserve"> v </w:t>
      </w:r>
      <w:r>
        <w:t xml:space="preserve">ekonomických subjektech s 10 a více </w:t>
      </w:r>
      <w:r w:rsidR="00261238">
        <w:t>zaměstnanci působícími</w:t>
      </w:r>
      <w:r w:rsidR="00B82BFC">
        <w:t xml:space="preserve"> v České republice</w:t>
      </w:r>
      <w:r>
        <w:t>, o charakteristice takového vzdělávání,</w:t>
      </w:r>
      <w:r w:rsidR="00CB29FB">
        <w:t xml:space="preserve"> o subjektivně pociťované potřebě vzdělávání zaměstnanců uváděné podniky, o </w:t>
      </w:r>
      <w:r>
        <w:t>hodnocení jeho kvality, o jeho financování, o překážkách, které firmy</w:t>
      </w:r>
      <w:r w:rsidR="00CB29FB">
        <w:t xml:space="preserve"> omezují nebo jim zcela brání v </w:t>
      </w:r>
      <w:r>
        <w:t>zajišťování vzdělávání zaměstnaným osobám, o plánování a organizaci takovéh</w:t>
      </w:r>
      <w:r w:rsidR="006C01CD">
        <w:t>o vzdělávání a</w:t>
      </w:r>
      <w:r w:rsidR="00CB29FB">
        <w:t xml:space="preserve"> o </w:t>
      </w:r>
      <w:r>
        <w:t xml:space="preserve">poskytování praxe žákům/studentům počátečního vzdělávání ve firmách. </w:t>
      </w:r>
    </w:p>
    <w:p w:rsidR="004A44D3" w:rsidRDefault="004A44D3" w:rsidP="00770CFB">
      <w:pPr>
        <w:spacing w:before="120" w:after="120"/>
        <w:contextualSpacing/>
        <w:jc w:val="both"/>
      </w:pPr>
    </w:p>
    <w:p w:rsidR="00770CFB" w:rsidRDefault="00770CFB" w:rsidP="00770CFB">
      <w:pPr>
        <w:spacing w:before="120" w:after="120"/>
        <w:contextualSpacing/>
        <w:jc w:val="both"/>
      </w:pPr>
      <w:r>
        <w:t>Výstupy ze šetření jsou určeny a mohou sloužit nejrůznějším cílovým skupinám. Možnosti užití se liší podle zájmů dané cílové skupiny. Pro politiku na centrální nebo krajské úrovni výsledky šetření nabízí jednak možnost udělat si celostní obrázek o tom, jak vzdělávání ve firmách na území ČR vypadá a podívat se na něj podrobněji. Nabízí totiž možnost např. zhodnocení, jaké prostředky na vzdělávání zaměstnanců firmy dostávají, zda firmy dostatečně využily nabídky grantů, projektů EU a dalších možností financování, zda je vzdělávání podporováno v oblastech, ve kterých je to žádoucí či jak firmy podpořit, aby se jejich zaměstnanci mohli dále vzdělávat.</w:t>
      </w:r>
    </w:p>
    <w:p w:rsidR="00770CFB" w:rsidRDefault="00770CFB" w:rsidP="00770CFB">
      <w:pPr>
        <w:spacing w:before="120" w:after="120"/>
        <w:contextualSpacing/>
        <w:jc w:val="both"/>
      </w:pPr>
    </w:p>
    <w:p w:rsidR="00770CFB" w:rsidRDefault="00770CFB" w:rsidP="00770CFB">
      <w:pPr>
        <w:spacing w:before="120" w:after="120"/>
        <w:contextualSpacing/>
        <w:jc w:val="both"/>
      </w:pPr>
      <w:r>
        <w:t>Pro vedení firem nabízí šetření možnosti srovnání vlastního příst</w:t>
      </w:r>
      <w:r w:rsidR="006C01CD">
        <w:t>upu ke vzdělávání zaměstnanců s </w:t>
      </w:r>
      <w:r>
        <w:t xml:space="preserve">dalšími firmami v ČR obecně nebo ve stejné oblasti podnikání, a to </w:t>
      </w:r>
      <w:r w:rsidR="006C01CD">
        <w:t>z různých hledisek. Jde např. o </w:t>
      </w:r>
      <w:r>
        <w:t xml:space="preserve">průměrné investice do vzdělávání na jednoho zaměstnance, míru spoluúčasti zaměstnanců na rozhodovacím procesu o vzdělávání, ne/vyhodnocování potřeb a efektivity vzdělávání, využívání různých poskytovatelů vzdělávání, obsahové zaměření a jeho formy, ne/přijímání žáků či studentů na praxi a důvody pro </w:t>
      </w:r>
      <w:r w:rsidR="007A040B">
        <w:t>toto ne/přijímání</w:t>
      </w:r>
      <w:r>
        <w:t xml:space="preserve">, dále pak </w:t>
      </w:r>
      <w:r w:rsidR="007A040B">
        <w:t xml:space="preserve">o různé druhy </w:t>
      </w:r>
      <w:r>
        <w:t>omezení či překážek ve vzdělávání</w:t>
      </w:r>
      <w:r w:rsidR="006C01CD">
        <w:t xml:space="preserve"> apod.</w:t>
      </w:r>
    </w:p>
    <w:p w:rsidR="00770CFB" w:rsidRDefault="00770CFB" w:rsidP="00770CFB">
      <w:pPr>
        <w:spacing w:before="120" w:after="120"/>
        <w:contextualSpacing/>
        <w:jc w:val="both"/>
      </w:pPr>
    </w:p>
    <w:p w:rsidR="00770CFB" w:rsidRDefault="00770CFB" w:rsidP="00770CFB">
      <w:pPr>
        <w:spacing w:before="120" w:after="120"/>
        <w:contextualSpacing/>
        <w:jc w:val="both"/>
      </w:pPr>
      <w:r>
        <w:t xml:space="preserve">Odborům a stávajícím i potenciálním zaměstnancům šetření poskytuje možnost zhodnotit praxi a </w:t>
      </w:r>
      <w:r w:rsidR="00CC1942">
        <w:t>omezení spojená se zajišťováním</w:t>
      </w:r>
      <w:r>
        <w:t xml:space="preserve"> vzdělávání zaměstnanců </w:t>
      </w:r>
      <w:r w:rsidR="00CC1942">
        <w:t xml:space="preserve">v konkrétním podniku či vymezené skupině </w:t>
      </w:r>
      <w:r w:rsidR="00CC1942">
        <w:lastRenderedPageBreak/>
        <w:t>podniků</w:t>
      </w:r>
      <w:r>
        <w:t xml:space="preserve"> vzhledem k průměru ČR či v rámci dané NACE oblasti (odvětví</w:t>
      </w:r>
      <w:r w:rsidR="00CC1942">
        <w:t>) a případně aktivně usilovat o </w:t>
      </w:r>
      <w:r>
        <w:t xml:space="preserve">vyšší podporu vzdělávání. Dále pak šetření této cílové skupině nabízí možnost zjistit, na jaké dovednosti je v konkrétních </w:t>
      </w:r>
      <w:r w:rsidR="007A040B">
        <w:t>odvětvích</w:t>
      </w:r>
      <w:r>
        <w:t xml:space="preserve"> kladen při vzdělávání zaměstnanců důraz, resp. jaké dovednosti považují firmy v nejbližších letech za důležité.</w:t>
      </w:r>
    </w:p>
    <w:p w:rsidR="00770CFB" w:rsidRDefault="00770CFB" w:rsidP="00770CFB">
      <w:pPr>
        <w:spacing w:before="120" w:after="120"/>
        <w:contextualSpacing/>
        <w:jc w:val="both"/>
      </w:pPr>
    </w:p>
    <w:p w:rsidR="00770CFB" w:rsidRDefault="00770CFB" w:rsidP="00770CFB">
      <w:pPr>
        <w:spacing w:before="120" w:after="120"/>
        <w:contextualSpacing/>
        <w:jc w:val="both"/>
      </w:pPr>
      <w:r>
        <w:t xml:space="preserve">Pro instituce poskytující vzdělávání nabízí šetření možnost lepší orientace v tom, co </w:t>
      </w:r>
      <w:r w:rsidR="00CC1942">
        <w:t>podniky</w:t>
      </w:r>
      <w:r>
        <w:t xml:space="preserve"> v daném sektoru potřebují a kde cítí rezervy</w:t>
      </w:r>
      <w:r w:rsidR="00CC1942">
        <w:t xml:space="preserve"> a jací poskytovatelé vzdělávání jsou nejvíce využívaní</w:t>
      </w:r>
      <w:r>
        <w:t xml:space="preserve">. Instituce nabízející formální vzdělávání mohou posoudit, do jaké míry a </w:t>
      </w:r>
      <w:r w:rsidR="00CC1942">
        <w:t>s jakou motivací přijímají podniky žáky/studenty počátečníh</w:t>
      </w:r>
      <w:bookmarkStart w:id="0" w:name="_GoBack"/>
      <w:bookmarkEnd w:id="0"/>
      <w:r w:rsidR="00CC1942">
        <w:t xml:space="preserve">o vzdělávání na praxi a do jaké míry je podniky využívají pro vzdělávání zaměstnanců.  </w:t>
      </w:r>
      <w:r>
        <w:t xml:space="preserve">Dále lze šetření využít jako zpětnou vazbu jejich činnosti a přeměnit informaci o omezení a překážkách, které firmy uvádějí, v nabídku řešení. </w:t>
      </w:r>
    </w:p>
    <w:p w:rsidR="006C01CD" w:rsidRDefault="006C01CD" w:rsidP="00770CFB">
      <w:pPr>
        <w:spacing w:after="120"/>
        <w:contextualSpacing/>
        <w:jc w:val="both"/>
      </w:pPr>
    </w:p>
    <w:p w:rsidR="006C01CD" w:rsidRDefault="006C01CD" w:rsidP="004A44D3">
      <w:pPr>
        <w:spacing w:before="120" w:after="120"/>
        <w:contextualSpacing/>
        <w:jc w:val="both"/>
      </w:pPr>
      <w:r>
        <w:t xml:space="preserve">Šetření </w:t>
      </w:r>
      <w:r w:rsidR="00A634A2">
        <w:t xml:space="preserve">svou povahou </w:t>
      </w:r>
      <w:r>
        <w:t>umožňuje srovnání v čase i mezinárodní srovnání. Zde je však třeba upozornit, že rok 2020 byl kvůli probíhající pandemi</w:t>
      </w:r>
      <w:r w:rsidR="00A634A2">
        <w:t>i COVID-19</w:t>
      </w:r>
      <w:r>
        <w:t xml:space="preserve"> a s ní spojeným rozsáhlým opatřením v zemích Evropské unie dosti odlišný od předchozích let. Kromě vyšší nemocnosti</w:t>
      </w:r>
      <w:r w:rsidR="00A634A2">
        <w:t>, resp. uděleným karanténám</w:t>
      </w:r>
      <w:r>
        <w:t xml:space="preserve"> musela řada podniků na delší dobu přerušit svou činnost, byla omezena možnost setkávat se na pracovišti i ve výukových prostorách, mnohé aktivity probíhaly na dálku apod. </w:t>
      </w:r>
      <w:r w:rsidR="004A44D3">
        <w:t>Též mezinárodní srovnání je z tohoto důvodu problematičtější, neboť jednotlivé země byly pandemií zasaženy</w:t>
      </w:r>
      <w:r w:rsidR="00CC1942">
        <w:t xml:space="preserve"> do různé míry</w:t>
      </w:r>
      <w:r w:rsidR="004A44D3">
        <w:t xml:space="preserve"> a k opatřením spojeným s bojem proti šíření této nemoci přistupovaly různým způsobem. Tato zpráva se proto především zaměřuje na prezentaci výsledků za Českou republiku, a to s referenčním rokem 2020. V klíčových indikátorech však </w:t>
      </w:r>
      <w:r w:rsidR="00BD2C30">
        <w:t xml:space="preserve">v rámci analýzy </w:t>
      </w:r>
      <w:r w:rsidR="004A44D3">
        <w:t xml:space="preserve">uvádí též srovnání </w:t>
      </w:r>
      <w:r w:rsidR="00A634A2">
        <w:t xml:space="preserve">v čase a </w:t>
      </w:r>
      <w:r w:rsidR="004A44D3">
        <w:t>s dalšími zeměmi. Pro další mezinárodní výstupy</w:t>
      </w:r>
      <w:r w:rsidR="00A634A2">
        <w:t xml:space="preserve"> ze všech dosud realizovaných vln šetření</w:t>
      </w:r>
      <w:r w:rsidR="004A44D3">
        <w:t xml:space="preserve"> odkazujeme na </w:t>
      </w:r>
      <w:hyperlink r:id="rId8" w:history="1">
        <w:r w:rsidR="004A44D3" w:rsidRPr="006C01CD">
          <w:rPr>
            <w:rStyle w:val="Hypertextovodkaz"/>
          </w:rPr>
          <w:t xml:space="preserve">webové stránky </w:t>
        </w:r>
        <w:proofErr w:type="spellStart"/>
        <w:r w:rsidR="004A44D3" w:rsidRPr="006C01CD">
          <w:rPr>
            <w:rStyle w:val="Hypertextovodkaz"/>
          </w:rPr>
          <w:t>Eurostatu</w:t>
        </w:r>
        <w:proofErr w:type="spellEnd"/>
      </w:hyperlink>
      <w:r w:rsidR="004A44D3">
        <w:t>.</w:t>
      </w:r>
      <w:r w:rsidR="00BF0BB3">
        <w:t xml:space="preserve"> </w:t>
      </w:r>
    </w:p>
    <w:p w:rsidR="006C01CD" w:rsidRDefault="006C01CD" w:rsidP="00770CFB">
      <w:pPr>
        <w:spacing w:after="120"/>
        <w:contextualSpacing/>
        <w:jc w:val="both"/>
      </w:pPr>
    </w:p>
    <w:p w:rsidR="00770CFB" w:rsidRDefault="00770CFB" w:rsidP="00770CFB">
      <w:pPr>
        <w:spacing w:after="120"/>
        <w:contextualSpacing/>
        <w:jc w:val="both"/>
      </w:pPr>
      <w:r>
        <w:t xml:space="preserve">Publikace je rozdělena do několika částí. Po úvodu následuje </w:t>
      </w:r>
      <w:r w:rsidR="00CC1942">
        <w:t>metodologická část věnující se provádění šetření a upozorňující na úskalí interpretace výsledků.</w:t>
      </w:r>
      <w:r w:rsidR="00BD2C30">
        <w:t xml:space="preserve"> Zahrnuje také slovník pojmů používaných v ukazatelích.</w:t>
      </w:r>
      <w:r w:rsidR="00CC1942">
        <w:t xml:space="preserve"> Za ní je zařazena analýza dat CVTS 6</w:t>
      </w:r>
      <w:r>
        <w:t xml:space="preserve">, kterou tvoří několik kapitol: </w:t>
      </w:r>
    </w:p>
    <w:p w:rsidR="00770CFB" w:rsidRPr="00A634A2" w:rsidRDefault="004A44D3" w:rsidP="00770CFB">
      <w:pPr>
        <w:pStyle w:val="Odstavecseseznamem"/>
        <w:numPr>
          <w:ilvl w:val="0"/>
          <w:numId w:val="1"/>
        </w:numPr>
        <w:spacing w:after="240" w:line="288" w:lineRule="auto"/>
        <w:jc w:val="both"/>
        <w:rPr>
          <w:rFonts w:ascii="Arial" w:hAnsi="Arial" w:cs="Arial"/>
          <w:sz w:val="20"/>
          <w:szCs w:val="20"/>
        </w:rPr>
      </w:pPr>
      <w:r w:rsidRPr="00A634A2">
        <w:rPr>
          <w:rFonts w:ascii="Arial" w:hAnsi="Arial" w:cs="Arial"/>
          <w:sz w:val="20"/>
          <w:szCs w:val="20"/>
        </w:rPr>
        <w:t>První kapitola</w:t>
      </w:r>
      <w:r w:rsidR="00770CFB" w:rsidRPr="00A634A2">
        <w:rPr>
          <w:rFonts w:ascii="Arial" w:hAnsi="Arial" w:cs="Arial"/>
          <w:sz w:val="20"/>
          <w:szCs w:val="20"/>
        </w:rPr>
        <w:t xml:space="preserve"> pojednává o důrazu, který je </w:t>
      </w:r>
      <w:r w:rsidRPr="00A634A2">
        <w:rPr>
          <w:rFonts w:ascii="Arial" w:hAnsi="Arial" w:cs="Arial"/>
          <w:sz w:val="20"/>
          <w:szCs w:val="20"/>
        </w:rPr>
        <w:t>v podnicích na vzdělávání</w:t>
      </w:r>
      <w:r w:rsidR="00770CFB" w:rsidRPr="00A634A2">
        <w:rPr>
          <w:rFonts w:ascii="Arial" w:hAnsi="Arial" w:cs="Arial"/>
          <w:sz w:val="20"/>
          <w:szCs w:val="20"/>
        </w:rPr>
        <w:t xml:space="preserve"> kladen, </w:t>
      </w:r>
      <w:r w:rsidRPr="00A634A2">
        <w:rPr>
          <w:rFonts w:ascii="Arial" w:hAnsi="Arial" w:cs="Arial"/>
          <w:sz w:val="20"/>
          <w:szCs w:val="20"/>
        </w:rPr>
        <w:t xml:space="preserve">tj. </w:t>
      </w:r>
      <w:r w:rsidR="00770CFB" w:rsidRPr="00A634A2">
        <w:rPr>
          <w:rFonts w:ascii="Arial" w:hAnsi="Arial" w:cs="Arial"/>
          <w:sz w:val="20"/>
          <w:szCs w:val="20"/>
        </w:rPr>
        <w:t xml:space="preserve">o </w:t>
      </w:r>
      <w:r w:rsidRPr="00A634A2">
        <w:rPr>
          <w:rFonts w:ascii="Arial" w:hAnsi="Arial" w:cs="Arial"/>
          <w:sz w:val="20"/>
          <w:szCs w:val="20"/>
        </w:rPr>
        <w:t>zajišťování</w:t>
      </w:r>
      <w:r w:rsidR="00770CFB" w:rsidRPr="00A634A2">
        <w:rPr>
          <w:rFonts w:ascii="Arial" w:hAnsi="Arial" w:cs="Arial"/>
          <w:sz w:val="20"/>
          <w:szCs w:val="20"/>
        </w:rPr>
        <w:t xml:space="preserve"> vzdělávání</w:t>
      </w:r>
      <w:r w:rsidRPr="00A634A2">
        <w:rPr>
          <w:rFonts w:ascii="Arial" w:hAnsi="Arial" w:cs="Arial"/>
          <w:sz w:val="20"/>
          <w:szCs w:val="20"/>
        </w:rPr>
        <w:t xml:space="preserve"> pro zaměstnance </w:t>
      </w:r>
      <w:r w:rsidR="00CC1942">
        <w:rPr>
          <w:rFonts w:ascii="Arial" w:hAnsi="Arial" w:cs="Arial"/>
          <w:sz w:val="20"/>
          <w:szCs w:val="20"/>
        </w:rPr>
        <w:t xml:space="preserve">(včetně s tím spojených finančních nákladů) </w:t>
      </w:r>
      <w:r w:rsidRPr="00A634A2">
        <w:rPr>
          <w:rFonts w:ascii="Arial" w:hAnsi="Arial" w:cs="Arial"/>
          <w:sz w:val="20"/>
          <w:szCs w:val="20"/>
        </w:rPr>
        <w:t>a o plánování a vyhodnocování potřeby a kvality zajišťovaného vzdělávání</w:t>
      </w:r>
      <w:r w:rsidR="00CC1942">
        <w:rPr>
          <w:rFonts w:ascii="Arial" w:hAnsi="Arial" w:cs="Arial"/>
          <w:sz w:val="20"/>
          <w:szCs w:val="20"/>
        </w:rPr>
        <w:t>.</w:t>
      </w:r>
      <w:r w:rsidR="00770CFB" w:rsidRPr="00A634A2">
        <w:rPr>
          <w:rFonts w:ascii="Arial" w:hAnsi="Arial" w:cs="Arial"/>
          <w:sz w:val="20"/>
          <w:szCs w:val="20"/>
        </w:rPr>
        <w:t xml:space="preserve"> </w:t>
      </w:r>
    </w:p>
    <w:p w:rsidR="00770CFB" w:rsidRPr="00A634A2" w:rsidRDefault="00770CFB" w:rsidP="00770CFB">
      <w:pPr>
        <w:pStyle w:val="Odstavecseseznamem"/>
        <w:numPr>
          <w:ilvl w:val="0"/>
          <w:numId w:val="1"/>
        </w:numPr>
        <w:spacing w:after="240" w:line="288" w:lineRule="auto"/>
        <w:jc w:val="both"/>
        <w:rPr>
          <w:rFonts w:ascii="Arial" w:hAnsi="Arial" w:cs="Arial"/>
          <w:sz w:val="20"/>
          <w:szCs w:val="20"/>
        </w:rPr>
      </w:pPr>
      <w:r w:rsidRPr="00A634A2">
        <w:rPr>
          <w:rFonts w:ascii="Arial" w:hAnsi="Arial" w:cs="Arial"/>
          <w:sz w:val="20"/>
          <w:szCs w:val="20"/>
        </w:rPr>
        <w:t xml:space="preserve">Druhá kapitola se věnuje účasti zaměstnanců </w:t>
      </w:r>
      <w:r w:rsidR="004A44D3" w:rsidRPr="00A634A2">
        <w:rPr>
          <w:rFonts w:ascii="Arial" w:hAnsi="Arial" w:cs="Arial"/>
          <w:sz w:val="20"/>
          <w:szCs w:val="20"/>
        </w:rPr>
        <w:t xml:space="preserve">na </w:t>
      </w:r>
      <w:r w:rsidRPr="00A634A2">
        <w:rPr>
          <w:rFonts w:ascii="Arial" w:hAnsi="Arial" w:cs="Arial"/>
          <w:sz w:val="20"/>
          <w:szCs w:val="20"/>
        </w:rPr>
        <w:t>vzdělávání</w:t>
      </w:r>
      <w:r w:rsidR="004A44D3" w:rsidRPr="00A634A2">
        <w:rPr>
          <w:rFonts w:ascii="Arial" w:hAnsi="Arial" w:cs="Arial"/>
          <w:sz w:val="20"/>
          <w:szCs w:val="20"/>
        </w:rPr>
        <w:t xml:space="preserve"> v podnicích a uvádí podíl účastníků různých forem vzdělávání v podnicích a počet a podíl hodin placené pracovní doby strávené vzděláváním</w:t>
      </w:r>
      <w:r w:rsidRPr="00A634A2">
        <w:rPr>
          <w:rFonts w:ascii="Arial" w:hAnsi="Arial" w:cs="Arial"/>
          <w:sz w:val="20"/>
          <w:szCs w:val="20"/>
        </w:rPr>
        <w:t>.</w:t>
      </w:r>
    </w:p>
    <w:p w:rsidR="00770CFB" w:rsidRPr="00A634A2" w:rsidRDefault="006D2D63" w:rsidP="00770CFB">
      <w:pPr>
        <w:pStyle w:val="Odstavecseseznamem"/>
        <w:numPr>
          <w:ilvl w:val="0"/>
          <w:numId w:val="1"/>
        </w:numPr>
        <w:spacing w:after="240" w:line="288" w:lineRule="auto"/>
        <w:jc w:val="both"/>
        <w:rPr>
          <w:rFonts w:ascii="Arial" w:hAnsi="Arial" w:cs="Arial"/>
          <w:sz w:val="20"/>
          <w:szCs w:val="20"/>
        </w:rPr>
      </w:pPr>
      <w:r w:rsidRPr="00A634A2">
        <w:rPr>
          <w:rFonts w:ascii="Arial" w:hAnsi="Arial" w:cs="Arial"/>
          <w:sz w:val="20"/>
          <w:szCs w:val="20"/>
        </w:rPr>
        <w:t>Třetí kapitola ukazuje, na jaká stěžejní témata se zaměřovaly kurzy/školení zajišťované podniky</w:t>
      </w:r>
      <w:r w:rsidR="00CC1942">
        <w:rPr>
          <w:rFonts w:ascii="Arial" w:hAnsi="Arial" w:cs="Arial"/>
          <w:sz w:val="20"/>
          <w:szCs w:val="20"/>
        </w:rPr>
        <w:t xml:space="preserve"> a srovnává jejich řazení s řazením </w:t>
      </w:r>
      <w:r w:rsidR="00BB3F3B">
        <w:rPr>
          <w:rFonts w:ascii="Arial" w:hAnsi="Arial" w:cs="Arial"/>
          <w:sz w:val="20"/>
          <w:szCs w:val="20"/>
        </w:rPr>
        <w:t>dove</w:t>
      </w:r>
      <w:r w:rsidR="00CC1942">
        <w:rPr>
          <w:rFonts w:ascii="Arial" w:hAnsi="Arial" w:cs="Arial"/>
          <w:sz w:val="20"/>
          <w:szCs w:val="20"/>
        </w:rPr>
        <w:t>dností, které podnik považuje za klíčové pro svůj rozvoj v nejbližších letech.</w:t>
      </w:r>
    </w:p>
    <w:p w:rsidR="00770CFB" w:rsidRPr="00A634A2" w:rsidRDefault="006D2D63" w:rsidP="00770CFB">
      <w:pPr>
        <w:pStyle w:val="Odstavecseseznamem"/>
        <w:numPr>
          <w:ilvl w:val="0"/>
          <w:numId w:val="1"/>
        </w:numPr>
        <w:spacing w:after="240" w:line="288" w:lineRule="auto"/>
        <w:jc w:val="both"/>
        <w:rPr>
          <w:rFonts w:ascii="Arial" w:hAnsi="Arial" w:cs="Arial"/>
          <w:sz w:val="20"/>
          <w:szCs w:val="20"/>
        </w:rPr>
      </w:pPr>
      <w:r w:rsidRPr="00A634A2">
        <w:rPr>
          <w:rFonts w:ascii="Arial" w:hAnsi="Arial" w:cs="Arial"/>
          <w:sz w:val="20"/>
          <w:szCs w:val="20"/>
        </w:rPr>
        <w:t>Čtvrtá kapitola</w:t>
      </w:r>
      <w:r w:rsidR="00770CFB" w:rsidRPr="00A634A2">
        <w:rPr>
          <w:rFonts w:ascii="Arial" w:hAnsi="Arial" w:cs="Arial"/>
          <w:sz w:val="20"/>
          <w:szCs w:val="20"/>
        </w:rPr>
        <w:t xml:space="preserve"> analyzuje omezení a překážky, které firmy ve vzdělávání zaměstnanců </w:t>
      </w:r>
      <w:r w:rsidRPr="00A634A2">
        <w:rPr>
          <w:rFonts w:ascii="Arial" w:hAnsi="Arial" w:cs="Arial"/>
          <w:sz w:val="20"/>
          <w:szCs w:val="20"/>
        </w:rPr>
        <w:t>pociťovaly</w:t>
      </w:r>
      <w:r w:rsidR="00770CFB" w:rsidRPr="00A634A2">
        <w:rPr>
          <w:rFonts w:ascii="Arial" w:hAnsi="Arial" w:cs="Arial"/>
          <w:sz w:val="20"/>
          <w:szCs w:val="20"/>
        </w:rPr>
        <w:t xml:space="preserve">, </w:t>
      </w:r>
      <w:r w:rsidRPr="00A634A2">
        <w:rPr>
          <w:rFonts w:ascii="Arial" w:hAnsi="Arial" w:cs="Arial"/>
          <w:sz w:val="20"/>
          <w:szCs w:val="20"/>
        </w:rPr>
        <w:t>a sice zvlášť za podniky zajišťující a nezajišťující vzdělávání</w:t>
      </w:r>
      <w:r w:rsidR="00770CFB" w:rsidRPr="00A634A2">
        <w:rPr>
          <w:rFonts w:ascii="Arial" w:hAnsi="Arial" w:cs="Arial"/>
          <w:sz w:val="20"/>
          <w:szCs w:val="20"/>
        </w:rPr>
        <w:t>.</w:t>
      </w:r>
    </w:p>
    <w:p w:rsidR="00770CFB" w:rsidRPr="00A634A2" w:rsidRDefault="00770CFB" w:rsidP="006D2D63">
      <w:pPr>
        <w:pStyle w:val="Odstavecseseznamem"/>
        <w:numPr>
          <w:ilvl w:val="0"/>
          <w:numId w:val="1"/>
        </w:numPr>
        <w:spacing w:after="240" w:line="288" w:lineRule="auto"/>
        <w:jc w:val="both"/>
        <w:rPr>
          <w:rFonts w:ascii="Arial" w:hAnsi="Arial" w:cs="Arial"/>
          <w:sz w:val="20"/>
          <w:szCs w:val="20"/>
        </w:rPr>
      </w:pPr>
      <w:r w:rsidRPr="00A634A2">
        <w:rPr>
          <w:rFonts w:ascii="Arial" w:hAnsi="Arial" w:cs="Arial"/>
          <w:sz w:val="20"/>
          <w:szCs w:val="20"/>
        </w:rPr>
        <w:t xml:space="preserve">Pátá kapitola se věnuje </w:t>
      </w:r>
      <w:r w:rsidR="006D2D63" w:rsidRPr="00A634A2">
        <w:rPr>
          <w:rFonts w:ascii="Arial" w:hAnsi="Arial" w:cs="Arial"/>
          <w:sz w:val="20"/>
          <w:szCs w:val="20"/>
        </w:rPr>
        <w:t>zajišťování praxe žáků/studentů počátečního vzdělávání v podnicích, tj. míře tohoto zajišťování a důvodům, které k němu podniky vedlo</w:t>
      </w:r>
      <w:r w:rsidRPr="00A634A2">
        <w:rPr>
          <w:rFonts w:ascii="Arial" w:hAnsi="Arial" w:cs="Arial"/>
          <w:sz w:val="20"/>
          <w:szCs w:val="20"/>
        </w:rPr>
        <w:t>.</w:t>
      </w:r>
    </w:p>
    <w:p w:rsidR="00770CFB" w:rsidRDefault="006D2D63" w:rsidP="00770CFB">
      <w:pPr>
        <w:contextualSpacing/>
        <w:jc w:val="both"/>
      </w:pPr>
      <w:r>
        <w:t>Další částí publikace je tabulková příloha s podrobnějšími výstupy z šetření CVTS 6 za Českou republiku</w:t>
      </w:r>
      <w:r w:rsidR="00770CFB">
        <w:t>.</w:t>
      </w:r>
    </w:p>
    <w:p w:rsidR="00E74B49" w:rsidRDefault="00E74B49" w:rsidP="00E74B49">
      <w:pPr>
        <w:contextualSpacing/>
        <w:jc w:val="both"/>
      </w:pPr>
    </w:p>
    <w:p w:rsidR="007A006C" w:rsidRPr="00E94545" w:rsidRDefault="007A006C" w:rsidP="00E94545">
      <w:pPr>
        <w:keepNext/>
        <w:keepLines/>
        <w:tabs>
          <w:tab w:val="left" w:pos="3855"/>
        </w:tabs>
        <w:spacing w:after="480"/>
        <w:contextualSpacing/>
        <w:outlineLvl w:val="0"/>
        <w:rPr>
          <w:rFonts w:eastAsia="MS Gothic"/>
          <w:b/>
          <w:bCs/>
          <w:color w:val="C00000"/>
          <w:sz w:val="32"/>
          <w:szCs w:val="28"/>
        </w:rPr>
      </w:pPr>
    </w:p>
    <w:sectPr w:rsidR="007A006C" w:rsidRPr="00E94545" w:rsidSect="001062C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3E4" w:rsidRDefault="00B143E4" w:rsidP="00FE69CF">
      <w:pPr>
        <w:spacing w:after="0" w:line="240" w:lineRule="auto"/>
      </w:pPr>
      <w:r>
        <w:separator/>
      </w:r>
    </w:p>
  </w:endnote>
  <w:endnote w:type="continuationSeparator" w:id="0">
    <w:p w:rsidR="00B143E4" w:rsidRDefault="00B143E4" w:rsidP="00FE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2C9" w:rsidRPr="00932443" w:rsidRDefault="001062C9" w:rsidP="001062C9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1312" behindDoc="0" locked="0" layoutInCell="1" allowOverlap="1" wp14:anchorId="3E85EE47" wp14:editId="3312E8FE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428625" cy="201295"/>
          <wp:effectExtent l="0" t="0" r="9525" b="825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Style w:val="ZpatChar"/>
        <w:szCs w:val="16"/>
      </w:rPr>
      <w:t>2020</w:t>
    </w:r>
  </w:p>
  <w:p w:rsidR="001062C9" w:rsidRDefault="001062C9" w:rsidP="001062C9">
    <w:pPr>
      <w:pStyle w:val="Zpat"/>
      <w:tabs>
        <w:tab w:val="clear" w:pos="4820"/>
        <w:tab w:val="clear" w:pos="9639"/>
        <w:tab w:val="left" w:pos="4035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2C9" w:rsidRDefault="001062C9" w:rsidP="001062C9">
    <w:pPr>
      <w:pStyle w:val="Zpat"/>
      <w:tabs>
        <w:tab w:val="clear" w:pos="4820"/>
        <w:tab w:val="clear" w:pos="9639"/>
        <w:tab w:val="left" w:pos="3855"/>
      </w:tabs>
    </w:pPr>
    <w:r>
      <w:rPr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0E959224" wp14:editId="1B14154B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510540" cy="272415"/>
          <wp:effectExtent l="0" t="0" r="3810" b="0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062C9"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3E4" w:rsidRDefault="00B143E4" w:rsidP="00FE69CF">
      <w:pPr>
        <w:spacing w:after="0" w:line="240" w:lineRule="auto"/>
      </w:pPr>
      <w:r>
        <w:separator/>
      </w:r>
    </w:p>
  </w:footnote>
  <w:footnote w:type="continuationSeparator" w:id="0">
    <w:p w:rsidR="00B143E4" w:rsidRDefault="00B143E4" w:rsidP="00FE69CF">
      <w:pPr>
        <w:spacing w:after="0" w:line="240" w:lineRule="auto"/>
      </w:pPr>
      <w:r>
        <w:continuationSeparator/>
      </w:r>
    </w:p>
  </w:footnote>
  <w:footnote w:id="1">
    <w:p w:rsidR="00B4168C" w:rsidRPr="00B4168C" w:rsidRDefault="00B4168C" w:rsidP="00B4168C">
      <w:pPr>
        <w:spacing w:after="0" w:line="240" w:lineRule="auto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517D3C">
        <w:rPr>
          <w:sz w:val="18"/>
          <w:szCs w:val="18"/>
        </w:rPr>
        <w:t xml:space="preserve">Specifické požadavky </w:t>
      </w:r>
      <w:r w:rsidRPr="00B4168C">
        <w:rPr>
          <w:sz w:val="18"/>
          <w:szCs w:val="18"/>
        </w:rPr>
        <w:t xml:space="preserve">pro šetření </w:t>
      </w:r>
      <w:r w:rsidR="00517D3C">
        <w:rPr>
          <w:sz w:val="18"/>
          <w:szCs w:val="18"/>
        </w:rPr>
        <w:t>jsou v právní rovin</w:t>
      </w:r>
      <w:r w:rsidR="00517D3C" w:rsidRPr="00517D3C">
        <w:rPr>
          <w:sz w:val="18"/>
          <w:szCs w:val="18"/>
        </w:rPr>
        <w:t xml:space="preserve">ě </w:t>
      </w:r>
      <w:r>
        <w:rPr>
          <w:sz w:val="18"/>
          <w:szCs w:val="18"/>
        </w:rPr>
        <w:t>aktuálně</w:t>
      </w:r>
      <w:r w:rsidR="00517D3C">
        <w:rPr>
          <w:sz w:val="18"/>
          <w:szCs w:val="18"/>
        </w:rPr>
        <w:t xml:space="preserve"> </w:t>
      </w:r>
      <w:r w:rsidRPr="00B4168C">
        <w:rPr>
          <w:sz w:val="18"/>
          <w:szCs w:val="18"/>
        </w:rPr>
        <w:t>upraveny</w:t>
      </w:r>
      <w:r>
        <w:rPr>
          <w:sz w:val="18"/>
          <w:szCs w:val="18"/>
        </w:rPr>
        <w:t>:</w:t>
      </w:r>
      <w:r w:rsidRPr="00B4168C">
        <w:rPr>
          <w:sz w:val="18"/>
          <w:szCs w:val="18"/>
        </w:rPr>
        <w:t xml:space="preserve"> </w:t>
      </w:r>
    </w:p>
    <w:p w:rsidR="00B4168C" w:rsidRPr="00B4168C" w:rsidRDefault="00B4168C" w:rsidP="00B4168C">
      <w:pPr>
        <w:spacing w:after="0" w:line="240" w:lineRule="auto"/>
        <w:rPr>
          <w:sz w:val="18"/>
          <w:szCs w:val="18"/>
        </w:rPr>
      </w:pPr>
      <w:r w:rsidRPr="00B4168C">
        <w:rPr>
          <w:sz w:val="18"/>
          <w:szCs w:val="18"/>
        </w:rPr>
        <w:t xml:space="preserve">nařízením </w:t>
      </w:r>
      <w:hyperlink r:id="rId1" w:history="1">
        <w:r w:rsidRPr="00B4168C">
          <w:rPr>
            <w:rStyle w:val="Hypertextovodkaz"/>
            <w:sz w:val="18"/>
            <w:szCs w:val="18"/>
          </w:rPr>
          <w:t>(ES) 1552/2005</w:t>
        </w:r>
      </w:hyperlink>
      <w:r w:rsidRPr="00B4168C">
        <w:rPr>
          <w:sz w:val="18"/>
          <w:szCs w:val="18"/>
        </w:rPr>
        <w:t xml:space="preserve"> o statistikách odborného vzdělávání v podnicích,</w:t>
      </w:r>
    </w:p>
    <w:p w:rsidR="00B4168C" w:rsidRPr="00B4168C" w:rsidRDefault="00B4168C" w:rsidP="00B4168C">
      <w:pPr>
        <w:spacing w:after="0" w:line="240" w:lineRule="auto"/>
        <w:rPr>
          <w:sz w:val="18"/>
          <w:szCs w:val="18"/>
        </w:rPr>
      </w:pPr>
      <w:r w:rsidRPr="00B4168C">
        <w:rPr>
          <w:sz w:val="18"/>
          <w:szCs w:val="18"/>
        </w:rPr>
        <w:t xml:space="preserve">nařízením </w:t>
      </w:r>
      <w:hyperlink r:id="rId2" w:history="1">
        <w:r w:rsidRPr="00B4168C">
          <w:rPr>
            <w:rStyle w:val="Hypertextovodkaz"/>
            <w:sz w:val="18"/>
            <w:szCs w:val="18"/>
          </w:rPr>
          <w:t>(ES) 198/2006</w:t>
        </w:r>
      </w:hyperlink>
      <w:r w:rsidRPr="00B4168C">
        <w:rPr>
          <w:b/>
          <w:sz w:val="18"/>
          <w:szCs w:val="18"/>
        </w:rPr>
        <w:t>,</w:t>
      </w:r>
      <w:r w:rsidRPr="00B4168C">
        <w:rPr>
          <w:sz w:val="18"/>
          <w:szCs w:val="18"/>
        </w:rPr>
        <w:t xml:space="preserve"> kterým se provádí nařízení (ES) 1552/2005, </w:t>
      </w:r>
    </w:p>
    <w:p w:rsidR="00B4168C" w:rsidRPr="00B4168C" w:rsidRDefault="00B4168C" w:rsidP="00B4168C">
      <w:pPr>
        <w:spacing w:after="0" w:line="240" w:lineRule="auto"/>
        <w:rPr>
          <w:sz w:val="18"/>
          <w:szCs w:val="18"/>
        </w:rPr>
      </w:pPr>
      <w:r w:rsidRPr="00B4168C">
        <w:rPr>
          <w:sz w:val="18"/>
          <w:szCs w:val="18"/>
        </w:rPr>
        <w:t xml:space="preserve">nařízením </w:t>
      </w:r>
      <w:hyperlink r:id="rId3" w:history="1">
        <w:r w:rsidRPr="00B4168C">
          <w:rPr>
            <w:rStyle w:val="Hypertextovodkaz"/>
            <w:sz w:val="18"/>
            <w:szCs w:val="18"/>
          </w:rPr>
          <w:t>(ES) 452/2008</w:t>
        </w:r>
      </w:hyperlink>
      <w:r w:rsidRPr="00B4168C">
        <w:rPr>
          <w:sz w:val="18"/>
          <w:szCs w:val="18"/>
        </w:rPr>
        <w:t xml:space="preserve"> o vypracovávání a rozvoji statistik o vzdělávání a celoživotním učení, a</w:t>
      </w:r>
    </w:p>
    <w:p w:rsidR="00B4168C" w:rsidRPr="00B4168C" w:rsidRDefault="00B4168C" w:rsidP="00B4168C">
      <w:pPr>
        <w:spacing w:after="0" w:line="240" w:lineRule="auto"/>
        <w:rPr>
          <w:sz w:val="18"/>
          <w:szCs w:val="18"/>
        </w:rPr>
      </w:pPr>
      <w:r w:rsidRPr="00B4168C">
        <w:rPr>
          <w:sz w:val="18"/>
          <w:szCs w:val="18"/>
        </w:rPr>
        <w:t xml:space="preserve">nařízením </w:t>
      </w:r>
      <w:hyperlink r:id="rId4" w:history="1">
        <w:r w:rsidRPr="00B4168C">
          <w:rPr>
            <w:rStyle w:val="Hypertextovodkaz"/>
            <w:sz w:val="18"/>
            <w:szCs w:val="18"/>
          </w:rPr>
          <w:t>(EU) 1153/2014</w:t>
        </w:r>
      </w:hyperlink>
      <w:r w:rsidRPr="00B4168C">
        <w:rPr>
          <w:sz w:val="18"/>
          <w:szCs w:val="18"/>
        </w:rPr>
        <w:t>, kterým se mění nařízení (ES) 198/2006, pokud jde o shromažďované údaje a požadavky na výběr šetřených jednotek, přesnost a kvalitu.</w:t>
      </w:r>
    </w:p>
    <w:p w:rsidR="00B4168C" w:rsidRDefault="00B4168C" w:rsidP="00B4168C">
      <w:pPr>
        <w:spacing w:after="0" w:line="240" w:lineRule="auto"/>
      </w:pPr>
      <w:r w:rsidRPr="00B4168C">
        <w:rPr>
          <w:sz w:val="18"/>
          <w:szCs w:val="18"/>
        </w:rPr>
        <w:t xml:space="preserve">Komplexní informace k legislativě i pro starší šetření jsou k dispozici na </w:t>
      </w:r>
      <w:hyperlink r:id="rId5" w:history="1">
        <w:r w:rsidRPr="00B4168C">
          <w:rPr>
            <w:rStyle w:val="Hypertextovodkaz"/>
            <w:sz w:val="18"/>
            <w:szCs w:val="18"/>
          </w:rPr>
          <w:t xml:space="preserve">webu </w:t>
        </w:r>
        <w:proofErr w:type="spellStart"/>
        <w:r w:rsidRPr="00B4168C">
          <w:rPr>
            <w:rStyle w:val="Hypertextovodkaz"/>
            <w:sz w:val="18"/>
            <w:szCs w:val="18"/>
          </w:rPr>
          <w:t>Eurostatu</w:t>
        </w:r>
        <w:proofErr w:type="spellEnd"/>
      </w:hyperlink>
      <w:r>
        <w:t>.</w:t>
      </w:r>
    </w:p>
    <w:p w:rsidR="00B4168C" w:rsidRDefault="00B4168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77" w:rsidRDefault="005A1577">
    <w:pPr>
      <w:pStyle w:val="Zhlav"/>
    </w:pPr>
    <w:r>
      <w:t>Vzdělávání zaměstnanců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2C9" w:rsidRDefault="001062C9">
    <w:pPr>
      <w:pStyle w:val="Zhlav"/>
    </w:pPr>
    <w:r>
      <w:t>Vzdělávání zaměstnanců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471AE"/>
    <w:multiLevelType w:val="hybridMultilevel"/>
    <w:tmpl w:val="B04865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CF"/>
    <w:rsid w:val="000645ED"/>
    <w:rsid w:val="000B61E0"/>
    <w:rsid w:val="000D0D53"/>
    <w:rsid w:val="001062C9"/>
    <w:rsid w:val="00110E59"/>
    <w:rsid w:val="0014144C"/>
    <w:rsid w:val="001E0DF7"/>
    <w:rsid w:val="001E55ED"/>
    <w:rsid w:val="001F6B22"/>
    <w:rsid w:val="002548CE"/>
    <w:rsid w:val="00261238"/>
    <w:rsid w:val="002D170D"/>
    <w:rsid w:val="002D52BC"/>
    <w:rsid w:val="002E146E"/>
    <w:rsid w:val="00485BCD"/>
    <w:rsid w:val="00490011"/>
    <w:rsid w:val="004A44D3"/>
    <w:rsid w:val="00517D3C"/>
    <w:rsid w:val="005A1577"/>
    <w:rsid w:val="006C01CD"/>
    <w:rsid w:val="006D2D63"/>
    <w:rsid w:val="007252DF"/>
    <w:rsid w:val="00770CFB"/>
    <w:rsid w:val="00797122"/>
    <w:rsid w:val="007A006C"/>
    <w:rsid w:val="007A040B"/>
    <w:rsid w:val="008063E0"/>
    <w:rsid w:val="0085476F"/>
    <w:rsid w:val="00856BD6"/>
    <w:rsid w:val="008A1409"/>
    <w:rsid w:val="008B4DCF"/>
    <w:rsid w:val="008F2A4F"/>
    <w:rsid w:val="00A434C7"/>
    <w:rsid w:val="00A634A2"/>
    <w:rsid w:val="00AD3ACD"/>
    <w:rsid w:val="00AD7552"/>
    <w:rsid w:val="00B143E4"/>
    <w:rsid w:val="00B4168C"/>
    <w:rsid w:val="00B57186"/>
    <w:rsid w:val="00B82BFC"/>
    <w:rsid w:val="00BB3F3B"/>
    <w:rsid w:val="00BD2C30"/>
    <w:rsid w:val="00BF0BB3"/>
    <w:rsid w:val="00C02F76"/>
    <w:rsid w:val="00C50559"/>
    <w:rsid w:val="00C8513D"/>
    <w:rsid w:val="00CB29FB"/>
    <w:rsid w:val="00CC1942"/>
    <w:rsid w:val="00CE7412"/>
    <w:rsid w:val="00D016CA"/>
    <w:rsid w:val="00D07815"/>
    <w:rsid w:val="00E262D1"/>
    <w:rsid w:val="00E74B49"/>
    <w:rsid w:val="00E94545"/>
    <w:rsid w:val="00EB7868"/>
    <w:rsid w:val="00EE5AE7"/>
    <w:rsid w:val="00F02311"/>
    <w:rsid w:val="00F02AF8"/>
    <w:rsid w:val="00F039E4"/>
    <w:rsid w:val="00F213F9"/>
    <w:rsid w:val="00F332B0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527A"/>
  <w15:docId w15:val="{B1526DB8-8C36-46E3-8958-1630C2F6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3F9"/>
    <w:pPr>
      <w:spacing w:after="240" w:line="288" w:lineRule="auto"/>
    </w:pPr>
    <w:rPr>
      <w:rFonts w:ascii="Arial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F213F9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F213F9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F213F9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F213F9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13F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3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F213F9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F213F9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F213F9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F213F9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F213F9"/>
    <w:rPr>
      <w:rFonts w:ascii="Cambria" w:eastAsia="Times New Roman" w:hAnsi="Cambria" w:cs="Times New Roman"/>
      <w:sz w:val="22"/>
      <w:szCs w:val="22"/>
    </w:rPr>
  </w:style>
  <w:style w:type="paragraph" w:styleId="Zhlav">
    <w:name w:val="header"/>
    <w:link w:val="ZhlavChar"/>
    <w:uiPriority w:val="99"/>
    <w:unhideWhenUsed/>
    <w:qFormat/>
    <w:rsid w:val="00F213F9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F213F9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F213F9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F213F9"/>
    <w:rPr>
      <w:rFonts w:ascii="Arial" w:hAnsi="Arial"/>
      <w:noProof/>
      <w:sz w:val="16"/>
      <w:lang w:eastAsia="en-US" w:bidi="ar-SA"/>
    </w:rPr>
  </w:style>
  <w:style w:type="paragraph" w:styleId="Seznam">
    <w:name w:val="List"/>
    <w:basedOn w:val="Normln"/>
    <w:uiPriority w:val="99"/>
    <w:unhideWhenUsed/>
    <w:qFormat/>
    <w:rsid w:val="00F213F9"/>
    <w:pPr>
      <w:contextualSpacing/>
    </w:pPr>
    <w:rPr>
      <w:rFonts w:eastAsia="Times New Roman"/>
    </w:rPr>
  </w:style>
  <w:style w:type="paragraph" w:styleId="Nzev">
    <w:name w:val="Title"/>
    <w:link w:val="NzevChar"/>
    <w:uiPriority w:val="10"/>
    <w:qFormat/>
    <w:rsid w:val="00F213F9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F213F9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nadpis">
    <w:name w:val="Subtitle"/>
    <w:link w:val="PodnadpisChar"/>
    <w:uiPriority w:val="11"/>
    <w:qFormat/>
    <w:rsid w:val="00F213F9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nadpisChar">
    <w:name w:val="Podnadpis Char"/>
    <w:link w:val="Podnadpis"/>
    <w:uiPriority w:val="11"/>
    <w:rsid w:val="00F213F9"/>
    <w:rPr>
      <w:rFonts w:ascii="Arial" w:eastAsia="Times New Roman" w:hAnsi="Arial"/>
      <w:b/>
      <w:color w:val="BC091B"/>
      <w:sz w:val="28"/>
      <w:szCs w:val="24"/>
      <w:lang w:bidi="ar-SA"/>
    </w:rPr>
  </w:style>
  <w:style w:type="character" w:styleId="Siln">
    <w:name w:val="Strong"/>
    <w:aliases w:val="Tučné"/>
    <w:uiPriority w:val="22"/>
    <w:qFormat/>
    <w:rsid w:val="00F213F9"/>
    <w:rPr>
      <w:rFonts w:ascii="Arial" w:hAnsi="Arial"/>
      <w:b/>
      <w:bCs/>
      <w:sz w:val="20"/>
    </w:rPr>
  </w:style>
  <w:style w:type="character" w:styleId="Zdraznn">
    <w:name w:val="Emphasis"/>
    <w:basedOn w:val="Standardnpsmoodstavce"/>
    <w:uiPriority w:val="20"/>
    <w:qFormat/>
    <w:rsid w:val="00F213F9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213F9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customStyle="1" w:styleId="TLIdentifikace-sted">
    <w:name w:val="TL Identifikace - střed"/>
    <w:qFormat/>
    <w:rsid w:val="00F213F9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F213F9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F213F9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F213F9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213F9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customStyle="1" w:styleId="TLKontaktyerven">
    <w:name w:val="TL Kontakty červené"/>
    <w:basedOn w:val="Normln"/>
    <w:qFormat/>
    <w:rsid w:val="00F213F9"/>
    <w:pPr>
      <w:spacing w:after="40"/>
      <w:contextualSpacing/>
    </w:pPr>
    <w:rPr>
      <w:rFonts w:eastAsia="Times New Roman"/>
      <w:b/>
      <w:caps/>
      <w:color w:val="BD1B21"/>
      <w:sz w:val="24"/>
    </w:rPr>
  </w:style>
  <w:style w:type="paragraph" w:customStyle="1" w:styleId="TLKontakty">
    <w:name w:val="TL Kontakty"/>
    <w:qFormat/>
    <w:rsid w:val="00F213F9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character" w:styleId="Hypertextovodkaz">
    <w:name w:val="Hyperlink"/>
    <w:uiPriority w:val="99"/>
    <w:rsid w:val="00FE69C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FE69CF"/>
    <w:pPr>
      <w:spacing w:after="0" w:line="240" w:lineRule="auto"/>
    </w:pPr>
    <w:rPr>
      <w:rFonts w:ascii="Calibri" w:hAnsi="Calibr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E69CF"/>
    <w:rPr>
      <w:lang w:eastAsia="en-US"/>
    </w:rPr>
  </w:style>
  <w:style w:type="character" w:styleId="Znakapoznpodarou">
    <w:name w:val="footnote reference"/>
    <w:uiPriority w:val="99"/>
    <w:semiHidden/>
    <w:unhideWhenUsed/>
    <w:rsid w:val="00FE69C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1F6B22"/>
    <w:rPr>
      <w:color w:val="800080" w:themeColor="followedHyperlink"/>
      <w:u w:val="single"/>
    </w:rPr>
  </w:style>
  <w:style w:type="paragraph" w:customStyle="1" w:styleId="Default">
    <w:name w:val="Default"/>
    <w:rsid w:val="00E74B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main/data/databa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-lex.europa.eu/legal-content/EN/TXT/?qid=1416236812785&amp;uri=CELEX:32008R0452" TargetMode="External"/><Relationship Id="rId2" Type="http://schemas.openxmlformats.org/officeDocument/2006/relationships/hyperlink" Target="http://eur-lex.europa.eu/legal-content/EN/TXT/?qid=1415897446863&amp;uri=CELEX:32006R0198" TargetMode="External"/><Relationship Id="rId1" Type="http://schemas.openxmlformats.org/officeDocument/2006/relationships/hyperlink" Target="http://eur-lex.europa.eu/legal-content/EN/TXT/?qid=1415879108236&amp;uri=CELEX:32005R1552" TargetMode="External"/><Relationship Id="rId5" Type="http://schemas.openxmlformats.org/officeDocument/2006/relationships/hyperlink" Target="https://ec.europa.eu/eurostat/web/education-and-training/legislation" TargetMode="External"/><Relationship Id="rId4" Type="http://schemas.openxmlformats.org/officeDocument/2006/relationships/hyperlink" Target="http://eur-lex.europa.eu/legal-content/EN/TXT/?qid=1415897446863&amp;uri=CELEX:32014R115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60FB6-5AF2-4C4E-B832-ED2B9C3D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973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Ondrušová</dc:creator>
  <cp:lastModifiedBy>Kašparová Vendula</cp:lastModifiedBy>
  <cp:revision>16</cp:revision>
  <cp:lastPrinted>2022-08-30T11:12:00Z</cp:lastPrinted>
  <dcterms:created xsi:type="dcterms:W3CDTF">2023-01-11T10:33:00Z</dcterms:created>
  <dcterms:modified xsi:type="dcterms:W3CDTF">2023-02-09T09:04:00Z</dcterms:modified>
</cp:coreProperties>
</file>